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CA" w:rsidRDefault="004179CA"/>
    <w:p w:rsidR="008B45C9" w:rsidRPr="008B45C9" w:rsidRDefault="008B45C9" w:rsidP="008B45C9">
      <w:pPr>
        <w:pStyle w:val="Heading1"/>
        <w:jc w:val="center"/>
        <w:rPr>
          <w:color w:val="auto"/>
        </w:rPr>
      </w:pPr>
      <w:r w:rsidRPr="008B45C9">
        <w:rPr>
          <w:color w:val="auto"/>
        </w:rPr>
        <w:t>Lesson Plan</w:t>
      </w:r>
    </w:p>
    <w:p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351A78" w:rsidTr="00A93B39">
        <w:trPr>
          <w:cantSplit/>
          <w:trHeight w:val="162"/>
        </w:trPr>
        <w:tc>
          <w:tcPr>
            <w:tcW w:w="2435" w:type="pct"/>
          </w:tcPr>
          <w:p w:rsidR="00351A78" w:rsidRPr="005D1EC5" w:rsidRDefault="00351A78" w:rsidP="006D156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b/>
              </w:rPr>
              <w:t>Title:</w:t>
            </w:r>
            <w:r w:rsidR="005D1EC5">
              <w:t xml:space="preserve"> </w:t>
            </w:r>
            <w:r w:rsidR="006D1568">
              <w:t>Hubble Flow</w:t>
            </w:r>
          </w:p>
        </w:tc>
        <w:tc>
          <w:tcPr>
            <w:tcW w:w="256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Date:</w:t>
            </w:r>
          </w:p>
        </w:tc>
      </w:tr>
      <w:tr w:rsidR="00351A78" w:rsidRPr="00351A78" w:rsidTr="00027D82">
        <w:trPr>
          <w:cantSplit/>
          <w:trHeight w:val="1613"/>
        </w:trPr>
        <w:tc>
          <w:tcPr>
            <w:tcW w:w="243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objective/s:</w:t>
            </w:r>
          </w:p>
          <w:p w:rsidR="00E607D2" w:rsidRPr="00E607D2" w:rsidRDefault="006D1568" w:rsidP="00E607D2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develop an understanding of redshift and Universal expansion. </w:t>
            </w:r>
          </w:p>
          <w:p w:rsidR="00351A78" w:rsidRDefault="006D1568" w:rsidP="006D1568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investigate the correlation between re</w:t>
            </w:r>
            <w:r w:rsidR="005750E8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shift and recession velocity for a number of galaxies. </w:t>
            </w:r>
          </w:p>
          <w:p w:rsidR="00FD5D34" w:rsidRPr="00FD5D34" w:rsidRDefault="00FD5D34" w:rsidP="00FD5D34">
            <w:pPr>
              <w:pStyle w:val="ListBulle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familiarise the students with Excel and advance their skills.</w:t>
            </w:r>
          </w:p>
        </w:tc>
        <w:tc>
          <w:tcPr>
            <w:tcW w:w="2565" w:type="pct"/>
          </w:tcPr>
          <w:p w:rsidR="00351A78" w:rsidRPr="00351A78" w:rsidRDefault="00351A78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Curriculum links:</w:t>
            </w:r>
          </w:p>
          <w:p w:rsidR="00351A78" w:rsidRPr="00351A78" w:rsidRDefault="00351A78" w:rsidP="008B45C9">
            <w:pPr>
              <w:pStyle w:val="ListBullet"/>
              <w:ind w:left="0"/>
              <w:rPr>
                <w:rFonts w:cstheme="minorHAnsi"/>
                <w:b/>
              </w:rPr>
            </w:pPr>
          </w:p>
        </w:tc>
      </w:tr>
      <w:tr w:rsidR="00351A78" w:rsidRPr="00351A78" w:rsidTr="00351A78">
        <w:trPr>
          <w:cantSplit/>
          <w:trHeight w:val="1802"/>
        </w:trPr>
        <w:tc>
          <w:tcPr>
            <w:tcW w:w="5000" w:type="pct"/>
            <w:gridSpan w:val="2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Learning outcomes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</w:p>
          <w:p w:rsidR="00F66BE4" w:rsidRDefault="00351A78" w:rsidP="00F66BE4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I want evidence </w:t>
            </w:r>
            <w:r w:rsidR="005750E8">
              <w:rPr>
                <w:rFonts w:cstheme="minorHAnsi"/>
                <w:b/>
              </w:rPr>
              <w:t>students</w:t>
            </w:r>
            <w:r w:rsidRPr="00351A78">
              <w:rPr>
                <w:rFonts w:cstheme="minorHAnsi"/>
                <w:b/>
              </w:rPr>
              <w:t xml:space="preserve"> can:</w:t>
            </w:r>
          </w:p>
          <w:p w:rsidR="00FD5D34" w:rsidRPr="00FD5D34" w:rsidRDefault="00F66BE4" w:rsidP="00FD5D34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Manipulate simple equations to discover unknown values.</w:t>
            </w:r>
          </w:p>
          <w:p w:rsidR="00E607D2" w:rsidRDefault="00F66BE4" w:rsidP="00E607D2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Investigate scientific data in the form of graphs. </w:t>
            </w:r>
          </w:p>
          <w:p w:rsidR="00E607D2" w:rsidRPr="00E607D2" w:rsidRDefault="00E607D2" w:rsidP="00E607D2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 w:rsidRPr="00E607D2">
              <w:rPr>
                <w:rFonts w:cstheme="minorHAnsi"/>
              </w:rPr>
              <w:t>Draw appropriate conclusions from their results.</w:t>
            </w:r>
          </w:p>
          <w:p w:rsidR="00351A78" w:rsidRPr="00351A78" w:rsidRDefault="00E607D2" w:rsidP="00E607D2">
            <w:pPr>
              <w:pStyle w:val="ListBullet"/>
              <w:numPr>
                <w:ilvl w:val="0"/>
                <w:numId w:val="3"/>
              </w:numPr>
              <w:rPr>
                <w:rFonts w:cstheme="minorHAnsi"/>
              </w:rPr>
            </w:pPr>
            <w:r w:rsidRPr="00E607D2">
              <w:rPr>
                <w:rFonts w:cstheme="minorHAnsi"/>
              </w:rPr>
              <w:t>Discuss what implications their findings may have.</w:t>
            </w:r>
          </w:p>
        </w:tc>
      </w:tr>
      <w:tr w:rsidR="00351A78" w:rsidRPr="00351A78" w:rsidTr="00351A78">
        <w:trPr>
          <w:cantSplit/>
          <w:trHeight w:val="1802"/>
        </w:trPr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Notes on </w:t>
            </w:r>
            <w:r w:rsidR="005750E8">
              <w:rPr>
                <w:rFonts w:cstheme="minorHAnsi"/>
                <w:b/>
              </w:rPr>
              <w:t>students</w:t>
            </w:r>
            <w:r w:rsidRPr="00351A78">
              <w:rPr>
                <w:rFonts w:cstheme="minorHAnsi"/>
                <w:b/>
              </w:rPr>
              <w:t xml:space="preserve"> who have exceeded the performance expected: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:rsidTr="00351A78">
        <w:trPr>
          <w:cantSplit/>
          <w:trHeight w:val="1686"/>
        </w:trPr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Notes on </w:t>
            </w:r>
            <w:r w:rsidR="005750E8">
              <w:rPr>
                <w:rFonts w:cstheme="minorHAnsi"/>
                <w:b/>
              </w:rPr>
              <w:t>students</w:t>
            </w:r>
            <w:r w:rsidRPr="00351A78">
              <w:rPr>
                <w:rFonts w:cstheme="minorHAnsi"/>
                <w:b/>
              </w:rPr>
              <w:t xml:space="preserve"> who did not achieve the performance expected: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Action to be taken:</w:t>
            </w:r>
          </w:p>
        </w:tc>
      </w:tr>
      <w:tr w:rsidR="00351A78" w:rsidRPr="00351A78" w:rsidTr="00A93B39"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>Essential vocabulary:</w:t>
            </w:r>
          </w:p>
          <w:p w:rsidR="00351A78" w:rsidRPr="00351A78" w:rsidRDefault="005750E8" w:rsidP="00E607D2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Hubble flow, r</w:t>
            </w:r>
            <w:r w:rsidR="006D1568">
              <w:rPr>
                <w:rFonts w:cstheme="minorHAnsi"/>
              </w:rPr>
              <w:t xml:space="preserve">edshift, H-alpha, galaxy, recession velocity, Universal expansion, Hubble’s constant </w:t>
            </w:r>
          </w:p>
        </w:tc>
        <w:tc>
          <w:tcPr>
            <w:tcW w:w="256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351A78">
              <w:rPr>
                <w:rFonts w:cstheme="minorHAnsi"/>
                <w:b/>
              </w:rPr>
              <w:t>Possible misconceptions:</w:t>
            </w:r>
          </w:p>
          <w:p w:rsidR="00351A78" w:rsidRPr="00351A78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351A78" w:rsidRPr="00351A78" w:rsidTr="007471AA">
        <w:trPr>
          <w:trHeight w:val="663"/>
        </w:trPr>
        <w:tc>
          <w:tcPr>
            <w:tcW w:w="5000" w:type="pct"/>
            <w:gridSpan w:val="2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Cross curricular links: </w:t>
            </w:r>
          </w:p>
          <w:p w:rsidR="00351A78" w:rsidRPr="00351A78" w:rsidRDefault="00E607D2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  <w:r w:rsidRPr="00E607D2">
              <w:rPr>
                <w:rFonts w:cstheme="minorHAnsi"/>
              </w:rPr>
              <w:t>Physics, ICT, Mathematics.</w:t>
            </w:r>
          </w:p>
        </w:tc>
      </w:tr>
      <w:tr w:rsidR="00351A78" w:rsidRPr="00351A78" w:rsidTr="00A93B39">
        <w:tc>
          <w:tcPr>
            <w:tcW w:w="243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351A78">
              <w:rPr>
                <w:rFonts w:cstheme="minorHAnsi"/>
                <w:b/>
              </w:rPr>
              <w:t xml:space="preserve">Teacher resources including ICT: </w:t>
            </w:r>
          </w:p>
          <w:p w:rsidR="00E607D2" w:rsidRPr="00E607D2" w:rsidRDefault="00E607D2" w:rsidP="00E607D2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E607D2">
              <w:rPr>
                <w:rFonts w:cstheme="minorHAnsi"/>
              </w:rPr>
              <w:t>Introductory Presentation</w:t>
            </w:r>
          </w:p>
          <w:p w:rsidR="00351A78" w:rsidRPr="00990B26" w:rsidRDefault="000720D2" w:rsidP="000720D2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EXCEL Hubble flow spreadsheet </w:t>
            </w:r>
          </w:p>
        </w:tc>
        <w:tc>
          <w:tcPr>
            <w:tcW w:w="2565" w:type="pct"/>
          </w:tcPr>
          <w:p w:rsidR="00351A78" w:rsidRPr="00351A78" w:rsidRDefault="005750E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</w:t>
            </w:r>
            <w:r w:rsidR="00351A78" w:rsidRPr="00351A78">
              <w:rPr>
                <w:rFonts w:cstheme="minorHAnsi"/>
                <w:b/>
              </w:rPr>
              <w:t xml:space="preserve">’s resources including ICT: </w:t>
            </w:r>
          </w:p>
          <w:p w:rsidR="00E607D2" w:rsidRPr="00E607D2" w:rsidRDefault="00E607D2" w:rsidP="00E607D2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 w:rsidRPr="00E607D2">
              <w:rPr>
                <w:rFonts w:cstheme="minorHAnsi"/>
              </w:rPr>
              <w:t>Access to a computer</w:t>
            </w:r>
          </w:p>
          <w:p w:rsidR="00351A78" w:rsidRDefault="00215E6C" w:rsidP="00E607D2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EXCEL Hubble flow spreadsheet</w:t>
            </w:r>
          </w:p>
          <w:p w:rsidR="00FD5D34" w:rsidRPr="00351A78" w:rsidRDefault="00FD5D34" w:rsidP="00E607D2">
            <w:pPr>
              <w:pStyle w:val="ListBulle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Equation sheet</w:t>
            </w:r>
          </w:p>
        </w:tc>
      </w:tr>
    </w:tbl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p w:rsidR="008B45C9" w:rsidRDefault="008B45C9" w:rsidP="008B45C9">
      <w:pPr>
        <w:pStyle w:val="ListBullet"/>
        <w:numPr>
          <w:ilvl w:val="0"/>
          <w:numId w:val="0"/>
        </w:numPr>
        <w:ind w:left="360" w:hanging="360"/>
      </w:pPr>
    </w:p>
    <w:p w:rsidR="00E607D2" w:rsidRDefault="00E607D2"/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987"/>
        <w:gridCol w:w="2984"/>
      </w:tblGrid>
      <w:tr w:rsidR="00351A78" w:rsidRPr="00351A78" w:rsidTr="00351A78"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Organisation and class management:</w:t>
            </w:r>
          </w:p>
        </w:tc>
        <w:tc>
          <w:tcPr>
            <w:tcW w:w="2159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Teaching points:</w:t>
            </w: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Notes:</w:t>
            </w:r>
          </w:p>
        </w:tc>
      </w:tr>
      <w:tr w:rsidR="00351A78" w:rsidRPr="00351A78" w:rsidTr="00351A78"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 xml:space="preserve">Introduction: 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:rsidR="006B1A17" w:rsidRDefault="006B1A17" w:rsidP="00351A78">
            <w:pPr>
              <w:pStyle w:val="ListBullet"/>
              <w:numPr>
                <w:ilvl w:val="0"/>
                <w:numId w:val="0"/>
              </w:numPr>
            </w:pPr>
          </w:p>
          <w:p w:rsidR="006B1A17" w:rsidRPr="006B1A17" w:rsidRDefault="006B1A17" w:rsidP="006B1A17"/>
          <w:p w:rsidR="00351A78" w:rsidRPr="006B1A17" w:rsidRDefault="00351A78" w:rsidP="006B1A17"/>
        </w:tc>
        <w:tc>
          <w:tcPr>
            <w:tcW w:w="2159" w:type="pct"/>
          </w:tcPr>
          <w:p w:rsidR="00E607D2" w:rsidRDefault="00E607D2" w:rsidP="00E607D2">
            <w:pPr>
              <w:pStyle w:val="ListBullet"/>
              <w:numPr>
                <w:ilvl w:val="0"/>
                <w:numId w:val="2"/>
              </w:numPr>
            </w:pPr>
            <w:r>
              <w:t>Introduce the task and the learning objectives.</w:t>
            </w:r>
          </w:p>
          <w:p w:rsidR="00E607D2" w:rsidRDefault="00E607D2" w:rsidP="00E607D2">
            <w:pPr>
              <w:pStyle w:val="ListBullet"/>
              <w:numPr>
                <w:ilvl w:val="0"/>
                <w:numId w:val="2"/>
              </w:numPr>
            </w:pPr>
            <w:r>
              <w:t xml:space="preserve">Use the PowerPoint presentation to discuss the </w:t>
            </w:r>
            <w:r w:rsidR="00215E6C">
              <w:t>background behind th</w:t>
            </w:r>
            <w:r w:rsidR="00F66BE4">
              <w:t>e Hubble Flow.</w:t>
            </w:r>
          </w:p>
          <w:p w:rsidR="00E607D2" w:rsidRDefault="00E607D2" w:rsidP="00E607D2">
            <w:pPr>
              <w:pStyle w:val="ListBullet"/>
              <w:numPr>
                <w:ilvl w:val="0"/>
                <w:numId w:val="2"/>
              </w:numPr>
            </w:pPr>
            <w:r>
              <w:t xml:space="preserve">Discuss the </w:t>
            </w:r>
            <w:r w:rsidR="00215E6C">
              <w:t xml:space="preserve">concept of redshift and what effects the Hubble Flow could have on it in the context of galaxy </w:t>
            </w:r>
            <w:r w:rsidR="00821B7E">
              <w:t>separation</w:t>
            </w:r>
            <w:r w:rsidR="00215E6C">
              <w:t>.</w:t>
            </w:r>
          </w:p>
          <w:p w:rsidR="00E607D2" w:rsidRDefault="00215E6C" w:rsidP="00E607D2">
            <w:pPr>
              <w:pStyle w:val="ListBullet"/>
              <w:numPr>
                <w:ilvl w:val="0"/>
                <w:numId w:val="2"/>
              </w:numPr>
            </w:pPr>
            <w:r>
              <w:t>Discuss the method behind approximating Hubble’s constant; the rate of expansion of the Universe</w:t>
            </w:r>
            <w:r w:rsidR="00F66BE4">
              <w:t>.</w:t>
            </w:r>
            <w:r>
              <w:t xml:space="preserve"> </w:t>
            </w:r>
          </w:p>
          <w:p w:rsidR="006E7D21" w:rsidRPr="00351A78" w:rsidRDefault="006E7D21" w:rsidP="00E607D2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</w:tr>
      <w:tr w:rsidR="00351A78" w:rsidRPr="00351A78" w:rsidTr="006E7D21">
        <w:trPr>
          <w:trHeight w:val="4412"/>
        </w:trPr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rPr>
                <w:b/>
              </w:rPr>
              <w:t>Main phase: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Independent work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:rsidR="00E607D2" w:rsidRDefault="00215E6C" w:rsidP="00E607D2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work independently or possibly in groups of 2 (the activity is good practice for using some of the main features of Excel so </w:t>
            </w:r>
            <w:r w:rsidR="001E2378">
              <w:t>students are encouraged to work independently to practice these skills</w:t>
            </w:r>
            <w:r>
              <w:t xml:space="preserve">). They are also provided with the spreadsheets and PowerPoint equations. </w:t>
            </w:r>
          </w:p>
          <w:p w:rsidR="00E607D2" w:rsidRDefault="00215E6C" w:rsidP="00E607D2">
            <w:pPr>
              <w:pStyle w:val="ListParagraph"/>
              <w:numPr>
                <w:ilvl w:val="0"/>
                <w:numId w:val="2"/>
              </w:numPr>
            </w:pPr>
            <w:r>
              <w:t>Students should use the data and equations given to them to work out the unknown variables</w:t>
            </w:r>
            <w:r w:rsidR="001E2378">
              <w:t xml:space="preserve"> in the Excel spreadsheet</w:t>
            </w:r>
            <w:r>
              <w:t xml:space="preserve">. </w:t>
            </w:r>
          </w:p>
          <w:p w:rsidR="00E607D2" w:rsidRDefault="008974EB" w:rsidP="00FD5D34">
            <w:pPr>
              <w:pStyle w:val="ListParagraph"/>
              <w:numPr>
                <w:ilvl w:val="0"/>
                <w:numId w:val="2"/>
              </w:numPr>
            </w:pPr>
            <w:r>
              <w:t xml:space="preserve">Using the completed data table, </w:t>
            </w:r>
            <w:r w:rsidR="00821B7E">
              <w:t>and the graph that has been created</w:t>
            </w:r>
            <w:r w:rsidR="00FD5D34">
              <w:t xml:space="preserve"> (</w:t>
            </w:r>
            <w:r w:rsidR="00FD5D34">
              <w:rPr>
                <w:color w:val="0070C0"/>
              </w:rPr>
              <w:t>K</w:t>
            </w:r>
            <w:r w:rsidR="00FD5D34">
              <w:rPr>
                <w:color w:val="0070C0"/>
              </w:rPr>
              <w:t>ey S</w:t>
            </w:r>
            <w:r w:rsidR="00FD5D34">
              <w:rPr>
                <w:color w:val="0070C0"/>
              </w:rPr>
              <w:t>tage</w:t>
            </w:r>
            <w:r w:rsidR="00FD5D34">
              <w:rPr>
                <w:color w:val="0070C0"/>
              </w:rPr>
              <w:t xml:space="preserve"> 6 students must </w:t>
            </w:r>
            <w:bookmarkStart w:id="0" w:name="_GoBack"/>
            <w:bookmarkEnd w:id="0"/>
            <w:r w:rsidR="00FD5D34">
              <w:rPr>
                <w:color w:val="0070C0"/>
              </w:rPr>
              <w:t>create this</w:t>
            </w:r>
            <w:r w:rsidR="00FD5D34">
              <w:rPr>
                <w:color w:val="0070C0"/>
              </w:rPr>
              <w:t xml:space="preserve"> graph using Excel</w:t>
            </w:r>
            <w:r w:rsidR="00FD5D34">
              <w:t>)</w:t>
            </w:r>
            <w:r w:rsidR="00821B7E">
              <w:t xml:space="preserve"> students should plot a line of best fit to the</w:t>
            </w:r>
            <w:r w:rsidR="00FD5D34">
              <w:t xml:space="preserve"> data points (students must also check ‘display equation on chart’ in format options to see the trendline equation. </w:t>
            </w:r>
          </w:p>
          <w:p w:rsidR="006E7D21" w:rsidRPr="00351A78" w:rsidRDefault="008974EB" w:rsidP="00E607D2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should be asked (with reference to the PowerPoint) what the gradient of the line of best fit resembles. Which is in this case Hubble’s constant. </w:t>
            </w:r>
          </w:p>
        </w:tc>
        <w:tc>
          <w:tcPr>
            <w:tcW w:w="1616" w:type="pct"/>
          </w:tcPr>
          <w:p w:rsidR="00351A78" w:rsidRPr="008974EB" w:rsidRDefault="008974EB" w:rsidP="005750E8">
            <w:pPr>
              <w:pStyle w:val="ListBullet"/>
              <w:numPr>
                <w:ilvl w:val="0"/>
                <w:numId w:val="0"/>
              </w:numPr>
              <w:rPr>
                <w:color w:val="00B050"/>
              </w:rPr>
            </w:pPr>
            <w:r w:rsidRPr="00215E6C">
              <w:rPr>
                <w:color w:val="2E74B5" w:themeColor="accent1" w:themeShade="BF"/>
              </w:rPr>
              <w:t xml:space="preserve">The </w:t>
            </w:r>
            <w:r>
              <w:rPr>
                <w:color w:val="2E74B5" w:themeColor="accent1" w:themeShade="BF"/>
              </w:rPr>
              <w:t xml:space="preserve">equations can be inserted into an Excel ‘cell’ and dragged down for each </w:t>
            </w:r>
            <w:r w:rsidR="005750E8">
              <w:rPr>
                <w:color w:val="2E74B5" w:themeColor="accent1" w:themeShade="BF"/>
              </w:rPr>
              <w:t>galaxy</w:t>
            </w:r>
            <w:r>
              <w:rPr>
                <w:color w:val="2E74B5" w:themeColor="accent1" w:themeShade="BF"/>
              </w:rPr>
              <w:t>, there is no need to use a calculator and do individual calculations</w:t>
            </w:r>
            <w:r w:rsidR="00754D88">
              <w:rPr>
                <w:color w:val="2E74B5" w:themeColor="accent1" w:themeShade="BF"/>
              </w:rPr>
              <w:t xml:space="preserve"> although students can do so if they wish</w:t>
            </w:r>
            <w:r>
              <w:rPr>
                <w:color w:val="2E74B5" w:themeColor="accent1" w:themeShade="BF"/>
              </w:rPr>
              <w:t>. To do this, click on a cell and, starting with ‘</w:t>
            </w:r>
            <w:r w:rsidRPr="008974EB">
              <w:rPr>
                <w:color w:val="538135" w:themeColor="accent6" w:themeShade="BF"/>
              </w:rPr>
              <w:t>=</w:t>
            </w:r>
            <w:r>
              <w:rPr>
                <w:color w:val="2E74B5" w:themeColor="accent1" w:themeShade="BF"/>
              </w:rPr>
              <w:t xml:space="preserve">’, manually </w:t>
            </w:r>
            <w:r w:rsidRPr="008974EB">
              <w:rPr>
                <w:b/>
                <w:color w:val="2E74B5" w:themeColor="accent1" w:themeShade="BF"/>
              </w:rPr>
              <w:t>type in the equation</w:t>
            </w:r>
            <w:r>
              <w:rPr>
                <w:b/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using manually selected variables or by clicking on the corresponding cells. When you drag the cell down using the bottom-right corner square it will automatically assign the variable for the following cell. To stop this happening when using constants, insert a ‘</w:t>
            </w:r>
            <w:r w:rsidRPr="008974EB">
              <w:rPr>
                <w:color w:val="538135" w:themeColor="accent6" w:themeShade="BF"/>
              </w:rPr>
              <w:t>$</w:t>
            </w:r>
            <w:r>
              <w:rPr>
                <w:color w:val="2E74B5" w:themeColor="accent1" w:themeShade="BF"/>
              </w:rPr>
              <w:t xml:space="preserve">’ before both letter and number of the cell the constant is situated in. For example: </w:t>
            </w:r>
            <w:r w:rsidRPr="008974EB">
              <w:rPr>
                <w:color w:val="538135" w:themeColor="accent6" w:themeShade="BF"/>
              </w:rPr>
              <w:t>=$D$25*F5</w:t>
            </w:r>
          </w:p>
        </w:tc>
      </w:tr>
      <w:tr w:rsidR="00351A78" w:rsidRPr="00351A78" w:rsidTr="00351A78">
        <w:tc>
          <w:tcPr>
            <w:tcW w:w="1225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51A78">
              <w:rPr>
                <w:b/>
              </w:rPr>
              <w:t>Plenary/Conclusion: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>Whole class discussion</w:t>
            </w: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  <w:r w:rsidRPr="00351A78">
              <w:t xml:space="preserve"> </w:t>
            </w:r>
          </w:p>
        </w:tc>
        <w:tc>
          <w:tcPr>
            <w:tcW w:w="2159" w:type="pct"/>
          </w:tcPr>
          <w:p w:rsidR="001E2378" w:rsidRDefault="001E2378" w:rsidP="00E607D2">
            <w:pPr>
              <w:pStyle w:val="ListBullet"/>
              <w:numPr>
                <w:ilvl w:val="0"/>
                <w:numId w:val="2"/>
              </w:numPr>
            </w:pPr>
            <w:r>
              <w:t xml:space="preserve">Discuss the class results – everyone’s should be the same given that they have the same data. What was the </w:t>
            </w:r>
            <w:r>
              <w:lastRenderedPageBreak/>
              <w:t xml:space="preserve">closest result of Hubble’s constant to the accepted value? </w:t>
            </w:r>
          </w:p>
          <w:p w:rsidR="00E607D2" w:rsidRDefault="00E607D2" w:rsidP="00E607D2">
            <w:pPr>
              <w:pStyle w:val="ListBullet"/>
              <w:numPr>
                <w:ilvl w:val="0"/>
                <w:numId w:val="2"/>
              </w:numPr>
            </w:pPr>
            <w:r>
              <w:t xml:space="preserve">How accurate do you think our </w:t>
            </w:r>
            <w:r w:rsidR="00F66BE4">
              <w:t>value is</w:t>
            </w:r>
            <w:r>
              <w:t>? Why?</w:t>
            </w:r>
          </w:p>
          <w:p w:rsidR="006E7D21" w:rsidRPr="00351A78" w:rsidRDefault="008974EB" w:rsidP="00E607D2">
            <w:pPr>
              <w:pStyle w:val="ListBullet"/>
              <w:numPr>
                <w:ilvl w:val="0"/>
                <w:numId w:val="2"/>
              </w:numPr>
            </w:pPr>
            <w:r>
              <w:t>Are there any wa</w:t>
            </w:r>
            <w:r w:rsidR="00284398">
              <w:t>ys in which we could improve our</w:t>
            </w:r>
            <w:r>
              <w:t xml:space="preserve"> measurements to gain a better result? What were the possible </w:t>
            </w:r>
            <w:r w:rsidR="00284398">
              <w:t xml:space="preserve">errors involved with the data? </w:t>
            </w:r>
          </w:p>
        </w:tc>
        <w:tc>
          <w:tcPr>
            <w:tcW w:w="1616" w:type="pct"/>
          </w:tcPr>
          <w:p w:rsidR="00351A78" w:rsidRPr="00351A78" w:rsidRDefault="00351A78" w:rsidP="00351A7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351A78" w:rsidRDefault="00351A78" w:rsidP="008B45C9">
      <w:pPr>
        <w:pStyle w:val="ListBullet"/>
        <w:numPr>
          <w:ilvl w:val="0"/>
          <w:numId w:val="0"/>
        </w:numPr>
        <w:ind w:left="360" w:hanging="360"/>
      </w:pPr>
    </w:p>
    <w:sectPr w:rsidR="00351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76" w:rsidRDefault="00CC0376" w:rsidP="008B45C9">
      <w:pPr>
        <w:spacing w:after="0" w:line="240" w:lineRule="auto"/>
      </w:pPr>
      <w:r>
        <w:separator/>
      </w:r>
    </w:p>
  </w:endnote>
  <w:endnote w:type="continuationSeparator" w:id="0">
    <w:p w:rsidR="00CC0376" w:rsidRDefault="00CC0376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DA" w:rsidRDefault="00456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Default="00E607D2">
    <w:pPr>
      <w:pStyle w:val="Footer"/>
      <w:jc w:val="right"/>
    </w:pPr>
    <w:r w:rsidRPr="00E607D2">
      <w:t>Sunspots</w:t>
    </w:r>
    <w:r w:rsidR="008B45C9">
      <w:tab/>
    </w:r>
    <w:r w:rsidR="004562DA" w:rsidRPr="004562DA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FD5D34">
              <w:rPr>
                <w:b/>
                <w:bCs/>
                <w:noProof/>
              </w:rPr>
              <w:t>1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FD5D34">
              <w:rPr>
                <w:b/>
                <w:bCs/>
                <w:noProof/>
              </w:rPr>
              <w:t>3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B45C9" w:rsidRDefault="008B4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DA" w:rsidRDefault="00456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76" w:rsidRDefault="00CC0376" w:rsidP="008B45C9">
      <w:pPr>
        <w:spacing w:after="0" w:line="240" w:lineRule="auto"/>
      </w:pPr>
      <w:r>
        <w:separator/>
      </w:r>
    </w:p>
  </w:footnote>
  <w:footnote w:type="continuationSeparator" w:id="0">
    <w:p w:rsidR="00CC0376" w:rsidRDefault="00CC0376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DA" w:rsidRDefault="00456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4D0AA3D" wp14:editId="341FDF2C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FA309C1" wp14:editId="2CBA23AE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DA" w:rsidRDefault="00456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66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A1585B"/>
    <w:multiLevelType w:val="hybridMultilevel"/>
    <w:tmpl w:val="CBB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720D2"/>
    <w:rsid w:val="001E2378"/>
    <w:rsid w:val="00215E6C"/>
    <w:rsid w:val="00246CD6"/>
    <w:rsid w:val="00284398"/>
    <w:rsid w:val="00303662"/>
    <w:rsid w:val="00351A78"/>
    <w:rsid w:val="00384D90"/>
    <w:rsid w:val="004179CA"/>
    <w:rsid w:val="004562DA"/>
    <w:rsid w:val="004D2FF7"/>
    <w:rsid w:val="005750E8"/>
    <w:rsid w:val="005D1EC5"/>
    <w:rsid w:val="005F0B1B"/>
    <w:rsid w:val="006343A1"/>
    <w:rsid w:val="006B1A17"/>
    <w:rsid w:val="006D1568"/>
    <w:rsid w:val="006E2E22"/>
    <w:rsid w:val="006E7D21"/>
    <w:rsid w:val="0073390C"/>
    <w:rsid w:val="007428E1"/>
    <w:rsid w:val="007471AA"/>
    <w:rsid w:val="00754D88"/>
    <w:rsid w:val="00785098"/>
    <w:rsid w:val="00821B7E"/>
    <w:rsid w:val="00824A0E"/>
    <w:rsid w:val="008974EB"/>
    <w:rsid w:val="008B45C9"/>
    <w:rsid w:val="00990B26"/>
    <w:rsid w:val="00B3311C"/>
    <w:rsid w:val="00BC2070"/>
    <w:rsid w:val="00CC0376"/>
    <w:rsid w:val="00D1219C"/>
    <w:rsid w:val="00D20599"/>
    <w:rsid w:val="00E607D2"/>
    <w:rsid w:val="00F0182C"/>
    <w:rsid w:val="00F66BE4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03A10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James</cp:lastModifiedBy>
  <cp:revision>2</cp:revision>
  <dcterms:created xsi:type="dcterms:W3CDTF">2018-10-16T13:00:00Z</dcterms:created>
  <dcterms:modified xsi:type="dcterms:W3CDTF">2018-10-16T13:00:00Z</dcterms:modified>
</cp:coreProperties>
</file>